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7B" w:rsidRPr="008B007B" w:rsidRDefault="008B007B" w:rsidP="008B007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pacing w:val="14"/>
          <w:sz w:val="28"/>
          <w:szCs w:val="28"/>
        </w:rPr>
      </w:pPr>
      <w:r w:rsidRPr="008B007B">
        <w:rPr>
          <w:rStyle w:val="a9"/>
          <w:color w:val="000000"/>
          <w:spacing w:val="14"/>
          <w:sz w:val="28"/>
          <w:szCs w:val="28"/>
          <w:bdr w:val="none" w:sz="0" w:space="0" w:color="auto" w:frame="1"/>
        </w:rPr>
        <w:t>Сведения</w:t>
      </w:r>
    </w:p>
    <w:p w:rsidR="008B007B" w:rsidRPr="008B007B" w:rsidRDefault="008B007B" w:rsidP="008B007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pacing w:val="14"/>
          <w:sz w:val="28"/>
          <w:szCs w:val="28"/>
        </w:rPr>
      </w:pPr>
      <w:r w:rsidRPr="008B007B">
        <w:rPr>
          <w:rStyle w:val="a9"/>
          <w:color w:val="000000"/>
          <w:spacing w:val="14"/>
          <w:sz w:val="28"/>
          <w:szCs w:val="28"/>
          <w:bdr w:val="none" w:sz="0" w:space="0" w:color="auto" w:frame="1"/>
        </w:rPr>
        <w:t>о проведении контрольных мероприятий</w:t>
      </w:r>
    </w:p>
    <w:p w:rsidR="008B007B" w:rsidRPr="008B007B" w:rsidRDefault="008B007B" w:rsidP="008B007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pacing w:val="14"/>
          <w:sz w:val="28"/>
          <w:szCs w:val="28"/>
        </w:rPr>
      </w:pPr>
      <w:r w:rsidRPr="008B007B">
        <w:rPr>
          <w:rStyle w:val="a9"/>
          <w:color w:val="000000"/>
          <w:spacing w:val="14"/>
          <w:sz w:val="28"/>
          <w:szCs w:val="28"/>
          <w:bdr w:val="none" w:sz="0" w:space="0" w:color="auto" w:frame="1"/>
        </w:rPr>
        <w:t>и об их результатах в отношении регионального оператора</w:t>
      </w:r>
    </w:p>
    <w:p w:rsidR="008B007B" w:rsidRDefault="008B007B" w:rsidP="008B007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0000"/>
          <w:spacing w:val="14"/>
          <w:sz w:val="28"/>
          <w:szCs w:val="28"/>
          <w:bdr w:val="none" w:sz="0" w:space="0" w:color="auto" w:frame="1"/>
        </w:rPr>
      </w:pPr>
      <w:r w:rsidRPr="008B007B">
        <w:rPr>
          <w:rStyle w:val="a9"/>
          <w:color w:val="000000"/>
          <w:spacing w:val="14"/>
          <w:sz w:val="28"/>
          <w:szCs w:val="28"/>
          <w:bdr w:val="none" w:sz="0" w:space="0" w:color="auto" w:frame="1"/>
        </w:rPr>
        <w:t>01.01.202</w:t>
      </w:r>
      <w:r w:rsidR="00007EB3">
        <w:rPr>
          <w:rStyle w:val="a9"/>
          <w:color w:val="000000"/>
          <w:spacing w:val="14"/>
          <w:sz w:val="28"/>
          <w:szCs w:val="28"/>
          <w:bdr w:val="none" w:sz="0" w:space="0" w:color="auto" w:frame="1"/>
        </w:rPr>
        <w:t>4</w:t>
      </w:r>
      <w:r w:rsidRPr="008B007B">
        <w:rPr>
          <w:rStyle w:val="a9"/>
          <w:color w:val="000000"/>
          <w:spacing w:val="14"/>
          <w:sz w:val="28"/>
          <w:szCs w:val="28"/>
          <w:bdr w:val="none" w:sz="0" w:space="0" w:color="auto" w:frame="1"/>
        </w:rPr>
        <w:t xml:space="preserve"> -31.12.202</w:t>
      </w:r>
      <w:r w:rsidR="00007EB3">
        <w:rPr>
          <w:rStyle w:val="a9"/>
          <w:color w:val="000000"/>
          <w:spacing w:val="14"/>
          <w:sz w:val="28"/>
          <w:szCs w:val="28"/>
          <w:bdr w:val="none" w:sz="0" w:space="0" w:color="auto" w:frame="1"/>
        </w:rPr>
        <w:t>4</w:t>
      </w:r>
      <w:r w:rsidRPr="008B007B">
        <w:rPr>
          <w:rStyle w:val="a9"/>
          <w:color w:val="000000"/>
          <w:spacing w:val="14"/>
          <w:sz w:val="28"/>
          <w:szCs w:val="28"/>
          <w:bdr w:val="none" w:sz="0" w:space="0" w:color="auto" w:frame="1"/>
        </w:rPr>
        <w:t>.</w:t>
      </w:r>
    </w:p>
    <w:p w:rsidR="00007EB3" w:rsidRPr="008B007B" w:rsidRDefault="00007EB3" w:rsidP="008B007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pacing w:val="14"/>
          <w:sz w:val="28"/>
          <w:szCs w:val="28"/>
        </w:rPr>
      </w:pPr>
    </w:p>
    <w:p w:rsidR="00007EB3" w:rsidRPr="00E8547E" w:rsidRDefault="00007EB3" w:rsidP="00007EB3">
      <w:pPr>
        <w:pStyle w:val="a7"/>
      </w:pPr>
      <w:r w:rsidRPr="00E8547E">
        <w:t>В отношении регионального оператора в 2024 году проведены проверки:</w:t>
      </w:r>
    </w:p>
    <w:p w:rsidR="00007EB3" w:rsidRPr="00E8547E" w:rsidRDefault="00007EB3" w:rsidP="00007EB3">
      <w:pPr>
        <w:pStyle w:val="a7"/>
        <w:numPr>
          <w:ilvl w:val="0"/>
          <w:numId w:val="1"/>
        </w:numPr>
        <w:ind w:left="0" w:firstLine="567"/>
        <w:jc w:val="left"/>
      </w:pPr>
      <w:r w:rsidRPr="00E8547E">
        <w:t xml:space="preserve">Публично-Правовая Компания «Фонд развития </w:t>
      </w:r>
      <w:proofErr w:type="gramStart"/>
      <w:r w:rsidRPr="00E8547E">
        <w:t>территорий»  -</w:t>
      </w:r>
      <w:proofErr w:type="gramEnd"/>
      <w:r w:rsidRPr="00E8547E">
        <w:t xml:space="preserve"> 1 проверка;</w:t>
      </w:r>
    </w:p>
    <w:p w:rsidR="00007EB3" w:rsidRPr="00E8547E" w:rsidRDefault="00007EB3" w:rsidP="00007EB3">
      <w:pPr>
        <w:pStyle w:val="a7"/>
        <w:numPr>
          <w:ilvl w:val="0"/>
          <w:numId w:val="1"/>
        </w:numPr>
        <w:ind w:left="0" w:firstLine="567"/>
        <w:jc w:val="left"/>
      </w:pPr>
      <w:r w:rsidRPr="00E8547E">
        <w:t>Управление Федерального казначейства по Астраханской области – 1 проверка;</w:t>
      </w:r>
    </w:p>
    <w:p w:rsidR="00007EB3" w:rsidRDefault="00007EB3" w:rsidP="00007EB3">
      <w:pPr>
        <w:pStyle w:val="a7"/>
        <w:jc w:val="left"/>
      </w:pPr>
      <w:r w:rsidRPr="00E8547E">
        <w:t>- Служба жилищного надзора Астраханской области – 47 выездных проверок.</w:t>
      </w:r>
    </w:p>
    <w:p w:rsidR="00007EB3" w:rsidRPr="00E8547E" w:rsidRDefault="00007EB3" w:rsidP="00007EB3">
      <w:pPr>
        <w:pStyle w:val="a7"/>
        <w:jc w:val="left"/>
      </w:pPr>
    </w:p>
    <w:p w:rsidR="00007EB3" w:rsidRPr="00E8547E" w:rsidRDefault="00007EB3" w:rsidP="00007EB3">
      <w:pPr>
        <w:pStyle w:val="a7"/>
      </w:pPr>
      <w:r w:rsidRPr="00E8547E">
        <w:t>Предоставлены ответы на 372 запроса силовых и надзорных структур.</w:t>
      </w:r>
    </w:p>
    <w:p w:rsidR="00007EB3" w:rsidRPr="00E8547E" w:rsidRDefault="00007EB3" w:rsidP="00007EB3">
      <w:pPr>
        <w:pStyle w:val="a7"/>
      </w:pPr>
    </w:p>
    <w:p w:rsidR="00007EB3" w:rsidRPr="00E8547E" w:rsidRDefault="00007EB3" w:rsidP="00007EB3">
      <w:pPr>
        <w:pStyle w:val="a7"/>
      </w:pPr>
      <w:r w:rsidRPr="00E8547E">
        <w:t>По итогам прокурорского реагирования внесены 30 представлений:</w:t>
      </w:r>
    </w:p>
    <w:p w:rsidR="00007EB3" w:rsidRPr="00E8547E" w:rsidRDefault="00007EB3" w:rsidP="00007EB3">
      <w:pPr>
        <w:pStyle w:val="a7"/>
      </w:pPr>
      <w:r w:rsidRPr="00E8547E">
        <w:t xml:space="preserve">Прокуратура </w:t>
      </w:r>
      <w:proofErr w:type="spellStart"/>
      <w:r w:rsidRPr="00E8547E">
        <w:t>Ахтубинского</w:t>
      </w:r>
      <w:proofErr w:type="spellEnd"/>
      <w:r w:rsidRPr="00E8547E">
        <w:t xml:space="preserve"> района – 3;</w:t>
      </w:r>
    </w:p>
    <w:p w:rsidR="00007EB3" w:rsidRPr="00E8547E" w:rsidRDefault="00007EB3" w:rsidP="00007EB3">
      <w:pPr>
        <w:pStyle w:val="a7"/>
      </w:pPr>
      <w:r w:rsidRPr="00E8547E">
        <w:t xml:space="preserve">Прокуратура </w:t>
      </w:r>
      <w:proofErr w:type="spellStart"/>
      <w:r w:rsidRPr="00E8547E">
        <w:t>Камызякского</w:t>
      </w:r>
      <w:proofErr w:type="spellEnd"/>
      <w:r w:rsidRPr="00E8547E">
        <w:t xml:space="preserve"> района – 1;</w:t>
      </w:r>
    </w:p>
    <w:p w:rsidR="00007EB3" w:rsidRPr="00E8547E" w:rsidRDefault="00007EB3" w:rsidP="00007EB3">
      <w:pPr>
        <w:pStyle w:val="a7"/>
      </w:pPr>
      <w:r w:rsidRPr="00E8547E">
        <w:t xml:space="preserve">Прокуратура Ленинского района – 5; </w:t>
      </w:r>
    </w:p>
    <w:p w:rsidR="00007EB3" w:rsidRPr="00E8547E" w:rsidRDefault="00007EB3" w:rsidP="00007EB3">
      <w:pPr>
        <w:pStyle w:val="a7"/>
      </w:pPr>
      <w:r w:rsidRPr="00E8547E">
        <w:t>Прокуратура Советского района – 7;</w:t>
      </w:r>
    </w:p>
    <w:p w:rsidR="00007EB3" w:rsidRPr="00E8547E" w:rsidRDefault="00007EB3" w:rsidP="00007EB3">
      <w:pPr>
        <w:pStyle w:val="a7"/>
      </w:pPr>
      <w:r w:rsidRPr="00E8547E">
        <w:t>Прокуратура Приволжского района – 2;</w:t>
      </w:r>
    </w:p>
    <w:p w:rsidR="00007EB3" w:rsidRPr="00E8547E" w:rsidRDefault="00007EB3" w:rsidP="00007EB3">
      <w:pPr>
        <w:pStyle w:val="a7"/>
      </w:pPr>
      <w:r w:rsidRPr="00E8547E">
        <w:t xml:space="preserve">Прокуратура </w:t>
      </w:r>
      <w:proofErr w:type="spellStart"/>
      <w:r w:rsidRPr="00E8547E">
        <w:t>Енотаевского</w:t>
      </w:r>
      <w:proofErr w:type="spellEnd"/>
      <w:r w:rsidRPr="00E8547E">
        <w:t xml:space="preserve"> района – 1;</w:t>
      </w:r>
    </w:p>
    <w:p w:rsidR="00007EB3" w:rsidRPr="00E8547E" w:rsidRDefault="00007EB3" w:rsidP="00007EB3">
      <w:pPr>
        <w:pStyle w:val="a7"/>
      </w:pPr>
      <w:r w:rsidRPr="00E8547E">
        <w:t xml:space="preserve">Прокуратура Кировского района – 4; </w:t>
      </w:r>
    </w:p>
    <w:p w:rsidR="00007EB3" w:rsidRPr="00E8547E" w:rsidRDefault="00007EB3" w:rsidP="00007EB3">
      <w:pPr>
        <w:pStyle w:val="a7"/>
      </w:pPr>
      <w:r w:rsidRPr="00E8547E">
        <w:t xml:space="preserve">Прокуратура </w:t>
      </w:r>
      <w:proofErr w:type="spellStart"/>
      <w:r w:rsidRPr="00E8547E">
        <w:t>Трусовского</w:t>
      </w:r>
      <w:proofErr w:type="spellEnd"/>
      <w:r w:rsidRPr="00E8547E">
        <w:t xml:space="preserve"> района – 2;</w:t>
      </w:r>
    </w:p>
    <w:p w:rsidR="00007EB3" w:rsidRPr="00E8547E" w:rsidRDefault="00007EB3" w:rsidP="00007EB3">
      <w:pPr>
        <w:pStyle w:val="a7"/>
      </w:pPr>
      <w:r w:rsidRPr="00E8547E">
        <w:t xml:space="preserve">Прокуратура </w:t>
      </w:r>
      <w:proofErr w:type="spellStart"/>
      <w:r w:rsidRPr="00E8547E">
        <w:t>Харабалинского</w:t>
      </w:r>
      <w:proofErr w:type="spellEnd"/>
      <w:r w:rsidRPr="00E8547E">
        <w:t xml:space="preserve"> района – 1;</w:t>
      </w:r>
    </w:p>
    <w:p w:rsidR="00007EB3" w:rsidRPr="00E8547E" w:rsidRDefault="00007EB3" w:rsidP="00007EB3">
      <w:pPr>
        <w:pStyle w:val="a7"/>
      </w:pPr>
      <w:r w:rsidRPr="00E8547E">
        <w:t xml:space="preserve">Прокуратура </w:t>
      </w:r>
      <w:proofErr w:type="spellStart"/>
      <w:r w:rsidRPr="00E8547E">
        <w:t>Наримановского</w:t>
      </w:r>
      <w:proofErr w:type="spellEnd"/>
      <w:r w:rsidRPr="00E8547E">
        <w:t xml:space="preserve"> района – 1;</w:t>
      </w:r>
    </w:p>
    <w:p w:rsidR="00007EB3" w:rsidRPr="00E8547E" w:rsidRDefault="00007EB3" w:rsidP="00007EB3">
      <w:pPr>
        <w:pStyle w:val="a7"/>
      </w:pPr>
      <w:r w:rsidRPr="00E8547E">
        <w:t>Прокуратура Лиманского района – 1;</w:t>
      </w:r>
    </w:p>
    <w:p w:rsidR="00007EB3" w:rsidRPr="00E8547E" w:rsidRDefault="00007EB3" w:rsidP="00007EB3">
      <w:pPr>
        <w:pStyle w:val="a7"/>
      </w:pPr>
      <w:r w:rsidRPr="00E8547E">
        <w:t>Прокуратура Красноярского района – 1;</w:t>
      </w:r>
    </w:p>
    <w:p w:rsidR="00007EB3" w:rsidRDefault="00007EB3" w:rsidP="00007EB3">
      <w:pPr>
        <w:pStyle w:val="a7"/>
      </w:pPr>
      <w:r w:rsidRPr="00E8547E">
        <w:t>Прокуратура г. Знаменск -1.</w:t>
      </w:r>
    </w:p>
    <w:p w:rsidR="00007EB3" w:rsidRPr="00E8547E" w:rsidRDefault="00007EB3" w:rsidP="00007EB3">
      <w:pPr>
        <w:pStyle w:val="a7"/>
      </w:pPr>
      <w:bookmarkStart w:id="0" w:name="_GoBack"/>
      <w:bookmarkEnd w:id="0"/>
    </w:p>
    <w:p w:rsidR="00007EB3" w:rsidRPr="00E8547E" w:rsidRDefault="00007EB3" w:rsidP="00007EB3">
      <w:pPr>
        <w:pStyle w:val="a7"/>
      </w:pPr>
      <w:r w:rsidRPr="00E8547E">
        <w:t xml:space="preserve">На указанные представления даны ответы </w:t>
      </w:r>
      <w:proofErr w:type="gramStart"/>
      <w:r w:rsidRPr="00E8547E">
        <w:t>с мерами</w:t>
      </w:r>
      <w:proofErr w:type="gramEnd"/>
      <w:r w:rsidRPr="00E8547E">
        <w:t xml:space="preserve"> принятыми во исполнение представлений и устранение нарушений. С целью недопущения нарушений законодательства представления рассматриваются на оперативном совещании Фонда, содержания представлений доводятся до сотрудников, доводы представлений обсуждаются.</w:t>
      </w:r>
    </w:p>
    <w:p w:rsidR="00007EB3" w:rsidRPr="00E8547E" w:rsidRDefault="00007EB3" w:rsidP="00007EB3">
      <w:pPr>
        <w:pStyle w:val="a7"/>
      </w:pPr>
      <w:r w:rsidRPr="00E8547E">
        <w:t>Замечания,</w:t>
      </w:r>
      <w:r w:rsidRPr="00E8547E">
        <w:t xml:space="preserve"> указанные </w:t>
      </w:r>
      <w:r w:rsidRPr="00E8547E">
        <w:t>в представлениях,</w:t>
      </w:r>
      <w:r w:rsidRPr="00E8547E">
        <w:t xml:space="preserve"> поступивших в Фонд учтены, сотрудникам указано на необходимость надлежащего исполнения возложенных обязанностей, принятия исчерпывающих организационных мер с целью недопущения нарушений законодательства, а также на безусловное соблюдение требований законодательства Российской Федерации при планировании и выполнении соответствующих мероприятий.</w:t>
      </w:r>
    </w:p>
    <w:p w:rsidR="00007EB3" w:rsidRPr="00E8547E" w:rsidRDefault="00007EB3" w:rsidP="00007EB3">
      <w:pPr>
        <w:pStyle w:val="a7"/>
      </w:pPr>
      <w:r w:rsidRPr="00E8547E">
        <w:t>Должностное лицо регионального оператора привлечено к административной ответственности по 2 делам.</w:t>
      </w:r>
    </w:p>
    <w:p w:rsidR="00007EB3" w:rsidRPr="00E8547E" w:rsidRDefault="00007EB3" w:rsidP="00007EB3">
      <w:pPr>
        <w:pStyle w:val="a7"/>
      </w:pPr>
      <w:r w:rsidRPr="00E8547E">
        <w:t>Региональный оператор привлечен к административной ответственности по 1 делу.</w:t>
      </w:r>
    </w:p>
    <w:p w:rsidR="00007EB3" w:rsidRPr="00E8547E" w:rsidRDefault="00007EB3" w:rsidP="00007EB3">
      <w:pPr>
        <w:pStyle w:val="a7"/>
      </w:pPr>
      <w:r w:rsidRPr="00E8547E">
        <w:t>Управление федерального казначейства Астраханской области привлекло должностное лицо регионального оператора к административной ответственности по 1 делу.</w:t>
      </w:r>
    </w:p>
    <w:p w:rsidR="00007EB3" w:rsidRPr="00E8547E" w:rsidRDefault="00007EB3" w:rsidP="00007EB3">
      <w:pPr>
        <w:pStyle w:val="a7"/>
        <w:rPr>
          <w:b/>
        </w:rPr>
      </w:pPr>
    </w:p>
    <w:p w:rsidR="008B007B" w:rsidRPr="001574DD" w:rsidRDefault="008B007B" w:rsidP="008B007B">
      <w:pPr>
        <w:pStyle w:val="a7"/>
        <w:jc w:val="center"/>
        <w:rPr>
          <w:b/>
        </w:rPr>
      </w:pPr>
    </w:p>
    <w:sectPr w:rsidR="008B007B" w:rsidRPr="001574DD" w:rsidSect="008B007B">
      <w:pgSz w:w="11906" w:h="16838"/>
      <w:pgMar w:top="568" w:right="70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6F0B"/>
    <w:multiLevelType w:val="hybridMultilevel"/>
    <w:tmpl w:val="DCE61D60"/>
    <w:lvl w:ilvl="0" w:tplc="DA5EE2A8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E7"/>
    <w:rsid w:val="00007EB3"/>
    <w:rsid w:val="001B0E8F"/>
    <w:rsid w:val="00492C94"/>
    <w:rsid w:val="006748EC"/>
    <w:rsid w:val="007F330B"/>
    <w:rsid w:val="008B007B"/>
    <w:rsid w:val="008F00E7"/>
    <w:rsid w:val="009014B6"/>
    <w:rsid w:val="00BA7074"/>
    <w:rsid w:val="00C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889D-7F04-488C-93F3-907446F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E8F"/>
    <w:rPr>
      <w:color w:val="0000FF"/>
      <w:u w:val="single"/>
    </w:rPr>
  </w:style>
  <w:style w:type="character" w:customStyle="1" w:styleId="block">
    <w:name w:val="block"/>
    <w:basedOn w:val="a0"/>
    <w:rsid w:val="001B0E8F"/>
  </w:style>
  <w:style w:type="paragraph" w:styleId="a5">
    <w:name w:val="Balloon Text"/>
    <w:basedOn w:val="a"/>
    <w:link w:val="a6"/>
    <w:uiPriority w:val="99"/>
    <w:semiHidden/>
    <w:unhideWhenUsed/>
    <w:rsid w:val="0067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8EC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a0"/>
    <w:rsid w:val="00CD1ED1"/>
  </w:style>
  <w:style w:type="paragraph" w:styleId="a7">
    <w:name w:val="No Spacing"/>
    <w:link w:val="a8"/>
    <w:uiPriority w:val="1"/>
    <w:qFormat/>
    <w:rsid w:val="008B007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bdr w:val="none" w:sz="0" w:space="0" w:color="auto" w:frame="1"/>
      <w:shd w:val="clear" w:color="auto" w:fill="FFFFFF"/>
      <w:lang w:eastAsia="ru-RU"/>
    </w:rPr>
  </w:style>
  <w:style w:type="character" w:customStyle="1" w:styleId="a8">
    <w:name w:val="Без интервала Знак"/>
    <w:link w:val="a7"/>
    <w:uiPriority w:val="1"/>
    <w:locked/>
    <w:rsid w:val="008B007B"/>
    <w:rPr>
      <w:rFonts w:ascii="Times New Roman" w:eastAsia="Calibri" w:hAnsi="Times New Roman" w:cs="Times New Roman"/>
      <w:sz w:val="28"/>
      <w:szCs w:val="28"/>
      <w:bdr w:val="none" w:sz="0" w:space="0" w:color="auto" w:frame="1"/>
      <w:lang w:eastAsia="ru-RU"/>
    </w:rPr>
  </w:style>
  <w:style w:type="paragraph" w:customStyle="1" w:styleId="has-text-align-center">
    <w:name w:val="has-text-align-center"/>
    <w:basedOn w:val="a"/>
    <w:rsid w:val="008B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0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48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Елена Сергеева</cp:lastModifiedBy>
  <cp:revision>7</cp:revision>
  <cp:lastPrinted>2024-05-03T11:41:00Z</cp:lastPrinted>
  <dcterms:created xsi:type="dcterms:W3CDTF">2024-04-25T11:56:00Z</dcterms:created>
  <dcterms:modified xsi:type="dcterms:W3CDTF">2025-05-15T06:48:00Z</dcterms:modified>
</cp:coreProperties>
</file>